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07" w:rsidRPr="00455707" w:rsidRDefault="00455707" w:rsidP="00455707">
      <w:pPr>
        <w:spacing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This form is provided to 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Connected Payments 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Customers to “Opt In” or “Opt Out” of Off-Line Stand-In operations, and select the desired parameters if opting in.  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Please see 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NCR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’s information sheet regarding the benefits and risks/costs of using off-line stand-in.</w:t>
      </w:r>
    </w:p>
    <w:tbl>
      <w:tblPr>
        <w:tblStyle w:val="TableGrid"/>
        <w:tblW w:w="10260" w:type="dxa"/>
        <w:tblInd w:w="144" w:type="dxa"/>
        <w:tblBorders>
          <w:top w:val="single" w:sz="8" w:space="0" w:color="948A54" w:themeColor="background2" w:themeShade="80"/>
          <w:left w:val="single" w:sz="8" w:space="0" w:color="948A54" w:themeColor="background2" w:themeShade="80"/>
          <w:bottom w:val="single" w:sz="8" w:space="0" w:color="948A54" w:themeColor="background2" w:themeShade="80"/>
          <w:right w:val="single" w:sz="8" w:space="0" w:color="948A54" w:themeColor="background2" w:themeShade="80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190"/>
      </w:tblGrid>
      <w:tr w:rsidR="00455707" w:rsidTr="00CF44B2">
        <w:tc>
          <w:tcPr>
            <w:tcW w:w="2070" w:type="dxa"/>
            <w:vAlign w:val="center"/>
          </w:tcPr>
          <w:p w:rsidR="00455707" w:rsidRPr="00455707" w:rsidRDefault="00B71BC2" w:rsidP="00455707">
            <w:pPr>
              <w:spacing w:after="0"/>
              <w:rPr>
                <w:rStyle w:val="Strong"/>
                <w:rFonts w:eastAsia="MS Mincho"/>
              </w:rPr>
            </w:pPr>
            <w:sdt>
              <w:sdtPr>
                <w:rPr>
                  <w:rStyle w:val="Strong"/>
                  <w:rFonts w:eastAsia="MS Mincho"/>
                  <w:sz w:val="24"/>
                </w:rPr>
                <w:id w:val="20268159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rong"/>
                </w:rPr>
              </w:sdtEndPr>
              <w:sdtContent>
                <w:r w:rsidR="00B57614">
                  <w:rPr>
                    <w:rStyle w:val="Strong"/>
                    <w:rFonts w:ascii="MS Gothic" w:eastAsia="MS Gothic" w:hAnsi="MS Gothic" w:hint="eastAsia"/>
                    <w:sz w:val="24"/>
                  </w:rPr>
                  <w:t>☒</w:t>
                </w:r>
              </w:sdtContent>
            </w:sdt>
            <w:r w:rsidR="004F4B95" w:rsidRPr="00BD33EA">
              <w:rPr>
                <w:rStyle w:val="Strong"/>
                <w:rFonts w:eastAsia="MS Mincho"/>
                <w:sz w:val="24"/>
              </w:rPr>
              <w:t xml:space="preserve">   OPT IN</w:t>
            </w:r>
          </w:p>
        </w:tc>
        <w:tc>
          <w:tcPr>
            <w:tcW w:w="8190" w:type="dxa"/>
          </w:tcPr>
          <w:p w:rsidR="00455707" w:rsidRPr="00455707" w:rsidRDefault="00455707" w:rsidP="00455707">
            <w:pPr>
              <w:tabs>
                <w:tab w:val="left" w:pos="2340"/>
                <w:tab w:val="left" w:leader="underscore" w:pos="5040"/>
                <w:tab w:val="left" w:pos="6480"/>
              </w:tabs>
              <w:spacing w:before="60" w:after="60"/>
              <w:rPr>
                <w:rFonts w:ascii="Arial" w:hAnsi="Arial" w:cs="Arial"/>
                <w:smallCaps/>
                <w:sz w:val="16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455707">
              <w:rPr>
                <w:rStyle w:val="Strong"/>
                <w:rFonts w:eastAsia="MS Mincho"/>
                <w:sz w:val="18"/>
              </w:rPr>
              <w:t>OPT IN:</w:t>
            </w:r>
            <w:r w:rsidRPr="00455707">
              <w:rPr>
                <w:rFonts w:ascii="Arial" w:hAnsi="Arial" w:cs="Arial"/>
                <w:smallCaps/>
                <w:sz w:val="16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 xml:space="preserve">  I CHOOSE TO USE OFF-LINE STAND-IN FOR THE TRANSACTIONS AND LIMITS INDICATED IN THE TABLE BELOW.  BY OPTING IN, I ACCEPT THE BENEFITS AND RISKS OF ACCEPTING THE INDICATED ELECTRONIC MEDIA OFF-LINE.</w:t>
            </w:r>
          </w:p>
        </w:tc>
      </w:tr>
      <w:tr w:rsidR="00455707" w:rsidTr="00CF44B2">
        <w:tc>
          <w:tcPr>
            <w:tcW w:w="2070" w:type="dxa"/>
            <w:vAlign w:val="center"/>
          </w:tcPr>
          <w:p w:rsidR="00455707" w:rsidRPr="00455707" w:rsidRDefault="00B71BC2" w:rsidP="00455707">
            <w:pPr>
              <w:spacing w:after="0"/>
              <w:rPr>
                <w:rStyle w:val="Strong"/>
                <w:rFonts w:eastAsia="MS Mincho"/>
              </w:rPr>
            </w:pPr>
            <w:sdt>
              <w:sdtPr>
                <w:rPr>
                  <w:rStyle w:val="Strong"/>
                  <w:rFonts w:eastAsia="MS Mincho"/>
                  <w:sz w:val="24"/>
                </w:rPr>
                <w:id w:val="202127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rong"/>
                </w:rPr>
              </w:sdtEndPr>
              <w:sdtContent>
                <w:r w:rsidR="00B57614">
                  <w:rPr>
                    <w:rStyle w:val="Strong"/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4F4B95" w:rsidRPr="00BD33EA">
              <w:rPr>
                <w:rStyle w:val="Strong"/>
                <w:rFonts w:eastAsia="MS Mincho"/>
                <w:sz w:val="24"/>
              </w:rPr>
              <w:t xml:space="preserve">   </w:t>
            </w:r>
            <w:r w:rsidR="004F4B95" w:rsidRPr="00BD33EA">
              <w:rPr>
                <w:rStyle w:val="Strong"/>
                <w:rFonts w:eastAsia="MS Mincho"/>
                <w:bCs/>
                <w:sz w:val="24"/>
              </w:rPr>
              <w:t xml:space="preserve">OPT </w:t>
            </w:r>
            <w:r w:rsidR="004F4B95" w:rsidRPr="00BD33EA">
              <w:rPr>
                <w:rStyle w:val="Strong"/>
                <w:rFonts w:eastAsia="MS Mincho"/>
                <w:sz w:val="24"/>
              </w:rPr>
              <w:t>OUT</w:t>
            </w:r>
          </w:p>
        </w:tc>
        <w:tc>
          <w:tcPr>
            <w:tcW w:w="8190" w:type="dxa"/>
          </w:tcPr>
          <w:p w:rsidR="00455707" w:rsidRPr="00455707" w:rsidRDefault="00455707" w:rsidP="00455707">
            <w:pPr>
              <w:pStyle w:val="BodyText"/>
              <w:spacing w:before="60" w:after="60"/>
              <w:rPr>
                <w:color w:val="000000" w:themeColor="text1"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455707">
              <w:rPr>
                <w:rStyle w:val="Strong"/>
                <w:sz w:val="18"/>
              </w:rPr>
              <w:t>OPT OUT:</w:t>
            </w:r>
            <w:r w:rsidRPr="00455707">
              <w:rPr>
                <w:rFonts w:ascii="Arial" w:hAnsi="Arial" w:cs="Arial"/>
                <w:smallCaps/>
                <w:color w:val="000000" w:themeColor="text1"/>
                <w:sz w:val="10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 xml:space="preserve">  </w:t>
            </w:r>
            <w:r w:rsidRPr="00455707">
              <w:rPr>
                <w:rFonts w:ascii="Arial" w:hAnsi="Arial" w:cs="Arial"/>
                <w:smallCaps/>
                <w:color w:val="000000" w:themeColor="text1"/>
                <w:sz w:val="16"/>
                <w:szCs w:val="18"/>
                <w14:textFill>
                  <w14:solidFill>
                    <w14:schemeClr w14:val="tx1">
                      <w14:lumMod w14:val="65000"/>
                      <w14:lumOff w14:val="3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I CHOOSE TO OPT OUT OF USING OFF-LINE STAND-IN.  I UNDERSTAND THAT NO ELECTRONIC PAYMENT MEDIA CAN BE ACCEPTED DURING FAILURES OR UNAVAILABILITY OF MY IN-STORE NETWORKS, WIRING 0R HARDWARE, MY INTERNET OR NETWORK PROVIDERS, OR DURING PROCESSOR OUTAGES OR UNAVAILABILITY OF THE CONNECTED PAYMENTS SYSTEM.</w:t>
            </w:r>
          </w:p>
        </w:tc>
      </w:tr>
    </w:tbl>
    <w:p w:rsidR="00455707" w:rsidRPr="00455707" w:rsidRDefault="00455707" w:rsidP="00455707">
      <w:pPr>
        <w:spacing w:before="240"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Customers opting in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should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examine and 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select the parameters below.   Several sets of settings can be specified if Customer determines that different stores should have different off-line stand-in setups.</w:t>
      </w:r>
    </w:p>
    <w:p w:rsidR="00455707" w:rsidRPr="00455707" w:rsidRDefault="00455707" w:rsidP="00455707">
      <w:pPr>
        <w:spacing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Some typical default settings have been provided for your reference.  Any and all of these defaults can be changed as desired.   </w:t>
      </w:r>
    </w:p>
    <w:p w:rsidR="00455707" w:rsidRPr="00455707" w:rsidRDefault="00455707" w:rsidP="00455707">
      <w:pPr>
        <w:spacing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Please note that any losses will be greater for debit, gift and EBT media due to incorrect PINs, non-sufficient funds etc.  Data from studies demonstrates, however, that providing these media off-line to shoppers is likely to provide a positive ROI.  </w:t>
      </w:r>
    </w:p>
    <w:p w:rsidR="004F4B95" w:rsidRPr="00455707" w:rsidRDefault="004F4B95" w:rsidP="004F4B95">
      <w:pPr>
        <w:spacing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If opting-in to off-line stand-in use, provide your 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maximum amounts and select your desired purchase types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in the table below.  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Some typical default settings have been provided for your reference.  These can be changed as desired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>:</w:t>
      </w:r>
    </w:p>
    <w:tbl>
      <w:tblPr>
        <w:tblStyle w:val="TableGrid"/>
        <w:tblW w:w="10260" w:type="dxa"/>
        <w:tblInd w:w="14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58" w:type="dxa"/>
        </w:tblCellMar>
        <w:tblLook w:val="01E0" w:firstRow="1" w:lastRow="1" w:firstColumn="1" w:lastColumn="1" w:noHBand="0" w:noVBand="0"/>
      </w:tblPr>
      <w:tblGrid>
        <w:gridCol w:w="2221"/>
        <w:gridCol w:w="1148"/>
        <w:gridCol w:w="1148"/>
        <w:gridCol w:w="1149"/>
        <w:gridCol w:w="1148"/>
        <w:gridCol w:w="1149"/>
        <w:gridCol w:w="1148"/>
        <w:gridCol w:w="1149"/>
      </w:tblGrid>
      <w:tr w:rsidR="004F4B95" w:rsidRPr="00455707" w:rsidTr="00C0018F">
        <w:trPr>
          <w:trHeight w:val="764"/>
        </w:trPr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bottom"/>
          </w:tcPr>
          <w:p w:rsidR="004F4B95" w:rsidRPr="00455707" w:rsidRDefault="004F4B95" w:rsidP="00C0018F">
            <w:pPr>
              <w:spacing w:after="0"/>
              <w:jc w:val="center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TRANSACTION TYPE AND CARD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>MAX TOTAL AMOUNT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>MAX CASH BACK</w:t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>ENABLE PURCHASE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>ENABLE RETURNS</w:t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>ENABLE VOICE AUTH (FORCE)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 xml:space="preserve">ENABLE FUEL </w:t>
            </w:r>
            <w:r>
              <w:rPr>
                <w:rStyle w:val="Strong"/>
                <w:sz w:val="16"/>
              </w:rPr>
              <w:br/>
            </w:r>
            <w:r w:rsidRPr="00455707">
              <w:rPr>
                <w:rStyle w:val="Strong"/>
                <w:sz w:val="16"/>
              </w:rPr>
              <w:t>PRE-AUTH</w:t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Pr="00455707" w:rsidRDefault="004F4B95" w:rsidP="00C0018F">
            <w:pPr>
              <w:pStyle w:val="BodyText"/>
              <w:spacing w:after="0"/>
              <w:jc w:val="center"/>
              <w:rPr>
                <w:rStyle w:val="Strong"/>
                <w:sz w:val="16"/>
              </w:rPr>
            </w:pPr>
            <w:r w:rsidRPr="00455707">
              <w:rPr>
                <w:rStyle w:val="Strong"/>
                <w:sz w:val="16"/>
              </w:rPr>
              <w:t>ENABLE</w:t>
            </w:r>
            <w:r>
              <w:rPr>
                <w:rStyle w:val="Strong"/>
                <w:sz w:val="16"/>
              </w:rPr>
              <w:t xml:space="preserve"> BLACK-HAWK </w:t>
            </w:r>
            <w:r>
              <w:rPr>
                <w:rStyle w:val="FootnoteReference"/>
                <w:rFonts w:ascii="Arial" w:hAnsi="Arial" w:cs="Arial"/>
                <w:b/>
                <w:color w:val="3B7E32"/>
                <w:sz w:val="16"/>
                <w:szCs w:val="16"/>
                <w14:textFill>
                  <w14:solidFill>
                    <w14:srgbClr w14:val="3B7E32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  <w:footnoteReference w:id="1"/>
            </w:r>
            <w:r w:rsidRPr="00455707">
              <w:rPr>
                <w:rStyle w:val="Strong"/>
                <w:sz w:val="16"/>
              </w:rPr>
              <w:t xml:space="preserve"> ACTIVATE</w:t>
            </w:r>
          </w:p>
        </w:tc>
      </w:tr>
      <w:tr w:rsidR="004F4B95" w:rsidTr="00C0018F"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VISA: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200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bookmarkStart w:id="0" w:name="_GoBack"/>
            <w:bookmarkEnd w:id="0"/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vAlign w:val="bottom"/>
          </w:tcPr>
          <w:sdt>
            <w:sdtPr>
              <w:id w:val="16050779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74299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-21343255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-1301765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nil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MASTERCARD: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after="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200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after="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id w:val="-19640306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1639686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-1984610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-1256744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AMEX: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200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sdt>
            <w:sdtPr>
              <w:id w:val="5498134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-485855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746485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id w:val="1016188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DISCOVER: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200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sdt>
            <w:sdtPr>
              <w:id w:val="-1613153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224738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1161615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13195731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nil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DEBIT CARDS: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100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sdt>
            <w:sdtPr>
              <w:id w:val="16682061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557774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1930820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CHECK AUTH: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sdt>
            <w:sdtPr>
              <w:id w:val="-335150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GIFT CARDS: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sdt>
            <w:sdtPr>
              <w:id w:val="-1566099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sdt>
            <w:sdtPr>
              <w:id w:val="4905372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4F4B95" w:rsidTr="00C0018F"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 xml:space="preserve">EBT FOOD </w:t>
            </w:r>
            <w:r>
              <w:rPr>
                <w:rStyle w:val="Strong"/>
                <w:rFonts w:eastAsia="MS Mincho"/>
              </w:rPr>
              <w:t>S</w:t>
            </w:r>
            <w:r w:rsidRPr="00455707">
              <w:rPr>
                <w:rStyle w:val="Strong"/>
                <w:rFonts w:eastAsia="MS Mincho"/>
              </w:rPr>
              <w:t>TAMPS: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sdt>
            <w:sdtPr>
              <w:id w:val="-347410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6896750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9503161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  <w:tr w:rsidR="004F4B95" w:rsidTr="00C0018F">
        <w:tc>
          <w:tcPr>
            <w:tcW w:w="2221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455707" w:rsidRDefault="004F4B95" w:rsidP="00C0018F">
            <w:pPr>
              <w:spacing w:after="0"/>
              <w:jc w:val="right"/>
              <w:rPr>
                <w:rStyle w:val="Strong"/>
                <w:rFonts w:eastAsia="MS Mincho"/>
              </w:rPr>
            </w:pPr>
            <w:r w:rsidRPr="00455707">
              <w:rPr>
                <w:rStyle w:val="Strong"/>
                <w:rFonts w:eastAsia="MS Mincho"/>
              </w:rPr>
              <w:t>EBT CASH CARDS:</w:t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 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center"/>
          </w:tcPr>
          <w:p w:rsidR="004F4B95" w:rsidRPr="00BD33EA" w:rsidRDefault="004F4B95" w:rsidP="00C0018F">
            <w:pPr>
              <w:pStyle w:val="BodyText"/>
              <w:spacing w:before="60" w:after="60"/>
              <w:jc w:val="right"/>
              <w:rPr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pP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 xml:space="preserve">$ 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 FORMTEXT </w:instrTex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 w:rsidRPr="00BD33EA">
              <w:rPr>
                <w:rFonts w:ascii="Arial" w:hAnsi="Arial" w:cs="Arial"/>
                <w:noProof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t>0</w:t>
            </w:r>
            <w:r w:rsidRPr="00BD33EA">
              <w:rPr>
                <w:rFonts w:ascii="Arial" w:hAnsi="Arial" w:cs="Arial"/>
                <w:color w:val="262626" w:themeColor="text1" w:themeTint="D9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vAlign w:val="bottom"/>
          </w:tcPr>
          <w:sdt>
            <w:sdtPr>
              <w:id w:val="-1543077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2774898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sdt>
            <w:sdtPr>
              <w:id w:val="-12289150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F4B95" w:rsidRDefault="004F4B95" w:rsidP="00C0018F">
                <w:pPr>
                  <w:pStyle w:val="BodyText"/>
                  <w:spacing w:after="6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148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nil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  <w:tc>
          <w:tcPr>
            <w:tcW w:w="1149" w:type="dxa"/>
            <w:tcBorders>
              <w:top w:val="single" w:sz="8" w:space="0" w:color="948A54" w:themeColor="background2" w:themeShade="80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shd w:val="clear" w:color="auto" w:fill="auto"/>
            <w:vAlign w:val="bottom"/>
          </w:tcPr>
          <w:p w:rsidR="004F4B95" w:rsidRDefault="004F4B95" w:rsidP="00C0018F">
            <w:pPr>
              <w:pStyle w:val="BodyText"/>
              <w:spacing w:after="60"/>
              <w:jc w:val="center"/>
            </w:pPr>
          </w:p>
        </w:tc>
      </w:tr>
    </w:tbl>
    <w:p w:rsidR="004F4B95" w:rsidRDefault="004F4B95" w:rsidP="004F4B95">
      <w:pPr>
        <w:spacing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</w:p>
    <w:p w:rsidR="004F4B95" w:rsidRPr="00455707" w:rsidRDefault="004F4B95" w:rsidP="004F4B95">
      <w:pPr>
        <w:spacing w:after="120"/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</w:pP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Please note that losses from incorrect PINs, Non-Sufficient Funds </w:t>
      </w:r>
      <w:r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(“NSF”) </w:t>
      </w:r>
      <w:r w:rsidRPr="00455707">
        <w:rPr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etc. will be greater for Debit, Gift and EBT media, although data demonstrates that providing these media off-line to shoppers provides a positive ROI.  Please provide maximum amounts and select your desired purchase types.  </w:t>
      </w:r>
    </w:p>
    <w:p w:rsidR="00455707" w:rsidRDefault="00455707" w:rsidP="00455707"/>
    <w:p w:rsidR="00455707" w:rsidRDefault="00455707" w:rsidP="00455707">
      <w:pPr>
        <w:spacing w:after="120"/>
      </w:pPr>
    </w:p>
    <w:p w:rsidR="00455707" w:rsidRPr="00455707" w:rsidRDefault="00455707" w:rsidP="00455707">
      <w:pPr>
        <w:spacing w:after="120"/>
      </w:pPr>
    </w:p>
    <w:sectPr w:rsidR="00455707" w:rsidRPr="00455707" w:rsidSect="00663EA7">
      <w:headerReference w:type="default" r:id="rId9"/>
      <w:footerReference w:type="default" r:id="rId10"/>
      <w:pgSz w:w="12240" w:h="15840"/>
      <w:pgMar w:top="1728" w:right="864" w:bottom="1152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C2" w:rsidRDefault="00B71BC2" w:rsidP="00C02DE2">
      <w:pPr>
        <w:spacing w:after="0"/>
      </w:pPr>
      <w:r>
        <w:separator/>
      </w:r>
    </w:p>
    <w:p w:rsidR="00B71BC2" w:rsidRDefault="00B71BC2"/>
  </w:endnote>
  <w:endnote w:type="continuationSeparator" w:id="0">
    <w:p w:rsidR="00B71BC2" w:rsidRDefault="00B71BC2" w:rsidP="00C02DE2">
      <w:pPr>
        <w:spacing w:after="0"/>
      </w:pPr>
      <w:r>
        <w:continuationSeparator/>
      </w:r>
    </w:p>
    <w:p w:rsidR="00B71BC2" w:rsidRDefault="00B71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455707" w:rsidRDefault="00E07C00" w:rsidP="00455707">
    <w:pPr>
      <w:pStyle w:val="Footer"/>
      <w:tabs>
        <w:tab w:val="clear" w:pos="4680"/>
        <w:tab w:val="clear" w:pos="9360"/>
        <w:tab w:val="center" w:pos="5220"/>
        <w:tab w:val="right" w:pos="10530"/>
      </w:tabs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</w:pPr>
    <w:r>
      <w:rPr>
        <w:rFonts w:ascii="Arial" w:hAnsi="Arial" w:cs="Arial"/>
        <w:bCs/>
        <w:i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5BF741B1" wp14:editId="37A00B01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37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6350">
                        <a:solidFill>
                          <a:srgbClr val="48A43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7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" strokecolor="#48a43e" strokeweight=".5pt"/>
          </w:pict>
        </mc:Fallback>
      </mc:AlternateContent>
    </w:r>
    <w:r>
      <w:rPr>
        <w:rStyle w:val="Strong"/>
        <w:rFonts w:eastAsiaTheme="minorHAnsi"/>
        <w:b w:val="0"/>
        <w:i/>
        <w:color w:val="000000" w:themeColor="text1"/>
        <w:sz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v7</w:t>
    </w:r>
    <w:r w:rsidRPr="008D3AE1">
      <w:rPr>
        <w:rStyle w:val="Strong"/>
        <w:rFonts w:eastAsiaTheme="minorHAnsi"/>
        <w:b w:val="0"/>
        <w:i/>
        <w:color w:val="000000" w:themeColor="text1"/>
        <w:sz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.0</w:t>
    </w:r>
    <w:r w:rsidR="004F4B95">
      <w:rPr>
        <w:rStyle w:val="Strong"/>
        <w:rFonts w:eastAsiaTheme="minorHAnsi"/>
        <w:b w:val="0"/>
        <w:i/>
        <w:color w:val="000000" w:themeColor="text1"/>
        <w:sz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a, 20</w:t>
    </w:r>
    <w:r w:rsidRPr="008D3AE1">
      <w:rPr>
        <w:rStyle w:val="Strong"/>
        <w:rFonts w:eastAsiaTheme="minorHAnsi"/>
        <w:b w:val="0"/>
        <w:i/>
        <w:color w:val="000000" w:themeColor="text1"/>
        <w:sz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-Nov-14</w:t>
    </w:r>
    <w:r>
      <w:rPr>
        <w:rStyle w:val="Strong"/>
        <w:rFonts w:eastAsiaTheme="minorHAnsi"/>
      </w:rPr>
      <w:tab/>
    </w:r>
    <w:r w:rsidRPr="00455707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Off-Line Stand-In Option and Information</w:t>
    </w:r>
    <w:r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 xml:space="preserve"> Form</w:t>
    </w:r>
    <w:r w:rsidRPr="00671D6B">
      <w:rPr>
        <w:rFonts w:ascii="Arial" w:hAnsi="Arial" w:cs="Arial"/>
        <w:sz w:val="18"/>
        <w:szCs w:val="18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ab/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 xml:space="preserve">Page </w:t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fldChar w:fldCharType="begin"/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instrText xml:space="preserve"> PAGE </w:instrText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fldChar w:fldCharType="separate"/>
    </w:r>
    <w:r w:rsidR="00B57614">
      <w:rPr>
        <w:rFonts w:ascii="Arial" w:hAnsi="Arial" w:cs="Arial"/>
        <w:noProof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1</w:t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fldChar w:fldCharType="end"/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 xml:space="preserve"> of </w:t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fldChar w:fldCharType="begin"/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instrText xml:space="preserve"> SECTIONPAGES   \* MERGEFORMAT </w:instrText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fldChar w:fldCharType="separate"/>
    </w:r>
    <w:r w:rsidR="00B57614">
      <w:rPr>
        <w:rFonts w:ascii="Arial" w:hAnsi="Arial" w:cs="Arial"/>
        <w:noProof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t>1</w:t>
    </w:r>
    <w:r w:rsidRPr="00671D6B">
      <w:rPr>
        <w:rFonts w:ascii="Arial" w:hAnsi="Arial" w:cs="Arial"/>
        <w:sz w:val="18"/>
        <w:szCs w:val="14"/>
        <w14:textFill>
          <w14:solidFill>
            <w14:schemeClr w14:val="tx1">
              <w14:lumMod w14:val="50000"/>
              <w14:lumOff w14:val="50000"/>
              <w14:lumMod w14:val="85000"/>
              <w14:lumOff w14:val="15000"/>
              <w14:lumMod w14:val="85000"/>
            </w14:schemeClr>
          </w14:solidFill>
        </w14:textFill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C2" w:rsidRDefault="00B71BC2" w:rsidP="00C02DE2">
      <w:pPr>
        <w:spacing w:after="0"/>
      </w:pPr>
      <w:r>
        <w:separator/>
      </w:r>
    </w:p>
  </w:footnote>
  <w:footnote w:type="continuationSeparator" w:id="0">
    <w:p w:rsidR="00B71BC2" w:rsidRDefault="00B71BC2" w:rsidP="00C02DE2">
      <w:pPr>
        <w:spacing w:after="0"/>
      </w:pPr>
      <w:r>
        <w:continuationSeparator/>
      </w:r>
    </w:p>
    <w:p w:rsidR="00B71BC2" w:rsidRDefault="00B71BC2"/>
  </w:footnote>
  <w:footnote w:id="1">
    <w:p w:rsidR="004F4B95" w:rsidRDefault="004F4B95" w:rsidP="004F4B95">
      <w:pPr>
        <w:pStyle w:val="FootnoteText"/>
        <w:ind w:left="180" w:hanging="180"/>
      </w:pPr>
      <w:r w:rsidRPr="00455707">
        <w:rPr>
          <w:rStyle w:val="FootnoteReference"/>
          <w:color w:val="000000" w:themeColor="text1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footnoteRef/>
      </w:r>
      <w:r w:rsidRPr="00455707">
        <w:rPr>
          <w:color w:val="000000" w:themeColor="text1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 </w:t>
      </w:r>
      <w:r w:rsidRPr="00455707">
        <w:rPr>
          <w:color w:val="000000" w:themeColor="text1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ab/>
      </w:r>
      <w:r w:rsidRPr="00455707">
        <w:rPr>
          <w:color w:val="000000" w:themeColor="text1"/>
          <w:sz w:val="18"/>
          <w:szCs w:val="18"/>
          <w14:textFill>
            <w14:solidFill>
              <w14:schemeClr w14:val="tx1">
                <w14:lumMod w14:val="65000"/>
                <w14:lumOff w14:val="35000"/>
                <w14:lumMod w14:val="85000"/>
                <w14:lumOff w14:val="15000"/>
                <w14:lumMod w14:val="85000"/>
              </w14:schemeClr>
            </w14:solidFill>
          </w14:textFill>
        </w:rPr>
        <w:t xml:space="preserve">Pertains to Blackhawk Gift Cards only.  Blackhawk may require merchants to enable off-line activations.  Merchants are not required to accept Blackhawk or other gift card types off-line.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455707" w:rsidRDefault="00E07C00" w:rsidP="00455707">
    <w:pPr>
      <w:pStyle w:val="Numbered"/>
      <w:numPr>
        <w:ilvl w:val="0"/>
        <w:numId w:val="0"/>
      </w:numPr>
      <w:spacing w:before="380" w:after="0"/>
      <w:ind w:left="360" w:hanging="360"/>
      <w:rPr>
        <w:rFonts w:ascii="Arial" w:hAnsi="Arial"/>
        <w:b/>
        <w:color w:val="BBB1A5"/>
        <w:sz w:val="36"/>
        <w14:textFill>
          <w14:solidFill>
            <w14:srgbClr w14:val="BBB1A5">
              <w14:lumMod w14:val="85000"/>
              <w14:lumOff w14:val="15000"/>
            </w14:srgbClr>
          </w14:solidFill>
        </w14:textFill>
      </w:rPr>
    </w:pPr>
    <w:r w:rsidRPr="00455707">
      <w:rPr>
        <w:rStyle w:val="Heading0"/>
      </w:rPr>
      <w:t>Off-Line Stand-In Option and Information</w:t>
    </w:r>
    <w:r>
      <w:rPr>
        <w:rStyle w:val="Heading0"/>
      </w:rPr>
      <w:t xml:space="preserve"> Form</w:t>
    </w:r>
    <w:r>
      <w:rPr>
        <w:noProof/>
      </w:rPr>
      <w:drawing>
        <wp:anchor distT="0" distB="0" distL="114300" distR="114300" simplePos="0" relativeHeight="251692032" behindDoc="1" locked="0" layoutInCell="1" allowOverlap="1" wp14:anchorId="1D8A03D2" wp14:editId="52C14815">
          <wp:simplePos x="0" y="0"/>
          <wp:positionH relativeFrom="page">
            <wp:posOffset>6766560</wp:posOffset>
          </wp:positionH>
          <wp:positionV relativeFrom="page">
            <wp:posOffset>457200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41" name="Picture 41" descr="C:\Users\av250130\Pictures\Graphics\NCR Branding\NCR-BB-Alt-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v250130\Pictures\Graphics\NCR Branding\NCR-BB-Alt-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8QaDaHL/aP9U2YM1CiOBiVS7KIo=" w:salt="VsnUQVapLMHSQILsGvJ1g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E1013"/>
    <w:rsid w:val="00144599"/>
    <w:rsid w:val="00150FD9"/>
    <w:rsid w:val="001E306D"/>
    <w:rsid w:val="002147BB"/>
    <w:rsid w:val="00296499"/>
    <w:rsid w:val="002A767D"/>
    <w:rsid w:val="002B6FE7"/>
    <w:rsid w:val="002C317A"/>
    <w:rsid w:val="00397903"/>
    <w:rsid w:val="003B1E4A"/>
    <w:rsid w:val="003E32A3"/>
    <w:rsid w:val="00454BE2"/>
    <w:rsid w:val="00455707"/>
    <w:rsid w:val="0047524E"/>
    <w:rsid w:val="004766E5"/>
    <w:rsid w:val="004F4B95"/>
    <w:rsid w:val="0053350C"/>
    <w:rsid w:val="005649F6"/>
    <w:rsid w:val="00576534"/>
    <w:rsid w:val="00582918"/>
    <w:rsid w:val="005C16D3"/>
    <w:rsid w:val="005D1C4F"/>
    <w:rsid w:val="005E3E58"/>
    <w:rsid w:val="00663EA7"/>
    <w:rsid w:val="00671D6B"/>
    <w:rsid w:val="00687D9F"/>
    <w:rsid w:val="006B3047"/>
    <w:rsid w:val="006C25C9"/>
    <w:rsid w:val="00746BF3"/>
    <w:rsid w:val="0075349F"/>
    <w:rsid w:val="007675E7"/>
    <w:rsid w:val="00770ED1"/>
    <w:rsid w:val="007A5B8E"/>
    <w:rsid w:val="007B06AA"/>
    <w:rsid w:val="007D30A6"/>
    <w:rsid w:val="00802907"/>
    <w:rsid w:val="0082321F"/>
    <w:rsid w:val="00835D21"/>
    <w:rsid w:val="008B6D35"/>
    <w:rsid w:val="008D3AE1"/>
    <w:rsid w:val="009533F6"/>
    <w:rsid w:val="0099688C"/>
    <w:rsid w:val="009C3374"/>
    <w:rsid w:val="009D7751"/>
    <w:rsid w:val="009F241E"/>
    <w:rsid w:val="00A77B42"/>
    <w:rsid w:val="00AC25F1"/>
    <w:rsid w:val="00AC2767"/>
    <w:rsid w:val="00AF0A82"/>
    <w:rsid w:val="00B26CCD"/>
    <w:rsid w:val="00B32480"/>
    <w:rsid w:val="00B419F1"/>
    <w:rsid w:val="00B467FF"/>
    <w:rsid w:val="00B53BBA"/>
    <w:rsid w:val="00B57614"/>
    <w:rsid w:val="00B71BC2"/>
    <w:rsid w:val="00B7431E"/>
    <w:rsid w:val="00B922BC"/>
    <w:rsid w:val="00BE012A"/>
    <w:rsid w:val="00C02DE2"/>
    <w:rsid w:val="00C804FB"/>
    <w:rsid w:val="00C83681"/>
    <w:rsid w:val="00CC5E86"/>
    <w:rsid w:val="00CF44B2"/>
    <w:rsid w:val="00D41D1D"/>
    <w:rsid w:val="00D52230"/>
    <w:rsid w:val="00DA046D"/>
    <w:rsid w:val="00DA4200"/>
    <w:rsid w:val="00DC3851"/>
    <w:rsid w:val="00DC43E0"/>
    <w:rsid w:val="00E07C00"/>
    <w:rsid w:val="00E1452C"/>
    <w:rsid w:val="00E4030F"/>
    <w:rsid w:val="00E45D49"/>
    <w:rsid w:val="00E73260"/>
    <w:rsid w:val="00EA41AE"/>
    <w:rsid w:val="00EF07E1"/>
    <w:rsid w:val="00F94A7D"/>
    <w:rsid w:val="00FE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CE35F-E496-4DD2-A5AB-7FF9616A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Subscription Agreement</vt:lpstr>
    </vt:vector>
  </TitlesOfParts>
  <Company>NCR Corporation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Off-Line Stand-In Option and Information Form to Connected Payments Subscription Agreement</dc:title>
  <dc:subject>Connected Payments</dc:subject>
  <dc:creator>van Seventer, Antony</dc:creator>
  <cp:keywords>Off-Line Stand-In, Form, Connected Payments, ServerEPS, subscription agreement, contract</cp:keywords>
  <dc:description>Off-Line Stand-In Option and Information Form to Connected Payments Subscription Agreement, v7.0, 18-Nov-14</dc:description>
  <cp:lastModifiedBy>van Seventer, Antony</cp:lastModifiedBy>
  <cp:revision>5</cp:revision>
  <dcterms:created xsi:type="dcterms:W3CDTF">2014-11-21T03:40:00Z</dcterms:created>
  <dcterms:modified xsi:type="dcterms:W3CDTF">2014-11-21T03:51:00Z</dcterms:modified>
  <cp:category>Agreements</cp:category>
</cp:coreProperties>
</file>